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77" w:rsidRDefault="00263809">
      <w:pPr>
        <w:rPr>
          <w:b/>
        </w:rPr>
      </w:pPr>
      <w:r>
        <w:rPr>
          <w:b/>
        </w:rPr>
        <w:t>Deterministic methods for recognition – Methods for exact and/or elastic comparison:</w:t>
      </w:r>
    </w:p>
    <w:p w:rsidR="00210DC2" w:rsidRDefault="00210DC2" w:rsidP="00210DC2">
      <w:pPr>
        <w:pStyle w:val="Heading2"/>
      </w:pPr>
      <w:r>
        <w:t xml:space="preserve">Simulated annealing </w:t>
      </w:r>
    </w:p>
    <w:p w:rsidR="00210DC2" w:rsidRDefault="00210DC2" w:rsidP="00210DC2">
      <w:pPr>
        <w:rPr>
          <w:rFonts w:eastAsia="CMR10"/>
        </w:rPr>
      </w:pPr>
      <w:r w:rsidRPr="00AE0685">
        <w:rPr>
          <w:rFonts w:eastAsia="CMR10"/>
        </w:rPr>
        <w:t>Stochastic simulated annealing is slow, in part because of the discrete nature of the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 xml:space="preserve">search through the space of all configurations, i.e., an </w:t>
      </w:r>
      <w:r w:rsidRPr="00AE0685">
        <w:rPr>
          <w:rFonts w:eastAsia="CMMI10" w:cs="CMMI10"/>
          <w:i/>
          <w:iCs/>
        </w:rPr>
        <w:t>N</w:t>
      </w:r>
      <w:r w:rsidRPr="00AE0685">
        <w:rPr>
          <w:rFonts w:eastAsia="CMR10"/>
        </w:rPr>
        <w:t>-dimensional hypercube. Each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 xml:space="preserve">trajectory is along a </w:t>
      </w:r>
      <w:r w:rsidRPr="00AE0685">
        <w:rPr>
          <w:rFonts w:eastAsia="CMR10" w:cs="CMTI10"/>
          <w:i/>
          <w:iCs/>
        </w:rPr>
        <w:t xml:space="preserve">single </w:t>
      </w:r>
      <w:r w:rsidRPr="00AE0685">
        <w:rPr>
          <w:rFonts w:eastAsia="CMR10"/>
        </w:rPr>
        <w:t>edge, thereby missing full gradient information that would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>be provided by analog state values in the “interior” of the hypercube. An alternate,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 xml:space="preserve">faster method is to allow each node to take on </w:t>
      </w:r>
      <w:r w:rsidRPr="00AE0685">
        <w:rPr>
          <w:rFonts w:eastAsia="CMR10" w:cs="CMTI10"/>
          <w:i/>
          <w:iCs/>
        </w:rPr>
        <w:t xml:space="preserve">analog </w:t>
      </w:r>
      <w:r w:rsidRPr="00AE0685">
        <w:rPr>
          <w:rFonts w:eastAsia="CMR10"/>
        </w:rPr>
        <w:t>values during search; at the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 xml:space="preserve">end of the search the values are forced to be </w:t>
      </w:r>
      <w:r w:rsidRPr="00AE0685">
        <w:rPr>
          <w:rFonts w:eastAsia="CMMI10" w:cs="CMMI10"/>
          <w:i/>
          <w:iCs/>
        </w:rPr>
        <w:t>s</w:t>
      </w:r>
      <w:r w:rsidRPr="00AE0685">
        <w:rPr>
          <w:rFonts w:eastAsia="CMR10" w:cs="CMMI7"/>
          <w:i/>
          <w:iCs/>
          <w:sz w:val="14"/>
          <w:szCs w:val="14"/>
        </w:rPr>
        <w:t xml:space="preserve">i </w:t>
      </w:r>
      <w:r w:rsidRPr="00AE0685">
        <w:rPr>
          <w:rFonts w:eastAsia="CMR10"/>
        </w:rPr>
        <w:t xml:space="preserve">= </w:t>
      </w:r>
      <w:r>
        <w:rPr>
          <w:rFonts w:eastAsia="CMR10"/>
        </w:rPr>
        <w:t>±</w:t>
      </w:r>
      <w:r w:rsidRPr="00AE0685">
        <w:rPr>
          <w:rFonts w:eastAsia="CMR10"/>
        </w:rPr>
        <w:t>1, as required by the optimization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 xml:space="preserve">problem. Such a </w:t>
      </w:r>
      <w:r w:rsidRPr="00AE0685">
        <w:rPr>
          <w:rFonts w:eastAsia="CMR10" w:cs="CMTI10"/>
          <w:i/>
          <w:iCs/>
        </w:rPr>
        <w:t xml:space="preserve">deterministic </w:t>
      </w:r>
      <w:r w:rsidRPr="00AE0685">
        <w:rPr>
          <w:rFonts w:eastAsia="CMR10"/>
        </w:rPr>
        <w:t>simulated annealing algorithm also follows from the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 xml:space="preserve">physical analogy. Consider a single node (magnet) </w:t>
      </w:r>
      <w:r w:rsidRPr="00AE0685">
        <w:rPr>
          <w:rFonts w:eastAsia="CMMI10" w:cs="CMMI10"/>
          <w:i/>
          <w:iCs/>
        </w:rPr>
        <w:t xml:space="preserve">i </w:t>
      </w:r>
      <w:r w:rsidRPr="00AE0685">
        <w:rPr>
          <w:rFonts w:eastAsia="CMR10"/>
        </w:rPr>
        <w:t>connected to several others; each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 xml:space="preserve">exerts a force tending to point node </w:t>
      </w:r>
      <w:r w:rsidRPr="00AE0685">
        <w:rPr>
          <w:rFonts w:eastAsia="CMMI10" w:cs="CMMI10"/>
          <w:i/>
          <w:iCs/>
        </w:rPr>
        <w:t xml:space="preserve">i </w:t>
      </w:r>
      <w:r w:rsidRPr="00AE0685">
        <w:rPr>
          <w:rFonts w:eastAsia="CMR10"/>
        </w:rPr>
        <w:t>up or down. In deterministic annealing we sum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 xml:space="preserve">the forces and give a continuous value for </w:t>
      </w:r>
      <w:r w:rsidRPr="00AE0685">
        <w:rPr>
          <w:rFonts w:eastAsia="CMMI10" w:cs="CMMI10"/>
          <w:i/>
          <w:iCs/>
        </w:rPr>
        <w:t>s</w:t>
      </w:r>
      <w:r w:rsidRPr="00AE0685">
        <w:rPr>
          <w:rFonts w:eastAsia="CMR10" w:cs="CMMI7"/>
          <w:i/>
          <w:iCs/>
          <w:sz w:val="14"/>
          <w:szCs w:val="14"/>
        </w:rPr>
        <w:t>i</w:t>
      </w:r>
      <w:r w:rsidRPr="00AE0685">
        <w:rPr>
          <w:rFonts w:eastAsia="CMR10"/>
        </w:rPr>
        <w:t>. If there is a large “positive” force, then</w:t>
      </w:r>
      <w:r>
        <w:rPr>
          <w:rFonts w:eastAsia="CMR10"/>
        </w:rPr>
        <w:t xml:space="preserve"> </w:t>
      </w:r>
      <w:r w:rsidRPr="00AE0685">
        <w:rPr>
          <w:rFonts w:eastAsia="CMMI10" w:cs="CMMI10"/>
          <w:i/>
          <w:iCs/>
        </w:rPr>
        <w:t>s</w:t>
      </w:r>
      <w:r w:rsidRPr="00AE0685">
        <w:rPr>
          <w:rFonts w:eastAsia="CMR10" w:cs="CMMI7"/>
          <w:i/>
          <w:iCs/>
          <w:sz w:val="14"/>
          <w:szCs w:val="14"/>
        </w:rPr>
        <w:t xml:space="preserve">i </w:t>
      </w:r>
      <w:r w:rsidRPr="00AE0685">
        <w:rPr>
          <w:rFonts w:eastAsia="CMSY10" w:cs="CMSY10"/>
          <w:i/>
          <w:iCs/>
        </w:rPr>
        <w:t xml:space="preserve">≈ </w:t>
      </w:r>
      <w:r w:rsidRPr="00AE0685">
        <w:rPr>
          <w:rFonts w:eastAsia="CMR10"/>
        </w:rPr>
        <w:t xml:space="preserve">+1; if a large negative force, then </w:t>
      </w:r>
      <w:r w:rsidRPr="00AE0685">
        <w:rPr>
          <w:rFonts w:eastAsia="CMMI10" w:cs="CMMI10"/>
          <w:i/>
          <w:iCs/>
        </w:rPr>
        <w:t>s</w:t>
      </w:r>
      <w:r w:rsidRPr="00AE0685">
        <w:rPr>
          <w:rFonts w:eastAsia="CMR10" w:cs="CMMI7"/>
          <w:i/>
          <w:iCs/>
          <w:sz w:val="14"/>
          <w:szCs w:val="14"/>
        </w:rPr>
        <w:t xml:space="preserve">i </w:t>
      </w:r>
      <w:r w:rsidRPr="00AE0685">
        <w:rPr>
          <w:rFonts w:eastAsia="CMSY10" w:cs="CMSY10"/>
          <w:i/>
          <w:iCs/>
        </w:rPr>
        <w:t>≈ −</w:t>
      </w:r>
      <w:r w:rsidRPr="00AE0685">
        <w:rPr>
          <w:rFonts w:eastAsia="CMR10"/>
        </w:rPr>
        <w:t xml:space="preserve">1. In the general case </w:t>
      </w:r>
      <w:r w:rsidRPr="00AE0685">
        <w:rPr>
          <w:rFonts w:eastAsia="CMMI10" w:cs="CMMI10"/>
          <w:i/>
          <w:iCs/>
        </w:rPr>
        <w:t>s</w:t>
      </w:r>
      <w:r w:rsidRPr="00AE0685">
        <w:rPr>
          <w:rFonts w:eastAsia="CMR10" w:cs="CMMI7"/>
          <w:i/>
          <w:iCs/>
          <w:sz w:val="14"/>
          <w:szCs w:val="14"/>
        </w:rPr>
        <w:t xml:space="preserve">i </w:t>
      </w:r>
      <w:r w:rsidRPr="00AE0685">
        <w:rPr>
          <w:rFonts w:eastAsia="CMR10"/>
        </w:rPr>
        <w:t>will lie between</w:t>
      </w:r>
      <w:r>
        <w:rPr>
          <w:rFonts w:eastAsia="CMR10"/>
        </w:rPr>
        <w:t xml:space="preserve"> </w:t>
      </w:r>
      <w:r w:rsidRPr="00AE0685">
        <w:rPr>
          <w:rFonts w:eastAsia="CMR10"/>
        </w:rPr>
        <w:t>these limits.</w:t>
      </w:r>
    </w:p>
    <w:p w:rsidR="00210DC2" w:rsidRDefault="00210DC2" w:rsidP="00210DC2">
      <w:pPr>
        <w:rPr>
          <w:rFonts w:eastAsia="CMR10"/>
        </w:rPr>
      </w:pPr>
      <w:r>
        <w:rPr>
          <w:rFonts w:eastAsia="CMR10"/>
          <w:noProof/>
        </w:rPr>
        <w:drawing>
          <wp:inline distT="0" distB="0" distL="0" distR="0">
            <wp:extent cx="2505075" cy="4572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C2" w:rsidRPr="00AE0685" w:rsidRDefault="00210DC2" w:rsidP="00210DC2">
      <w:pPr>
        <w:rPr>
          <w:rFonts w:eastAsia="CMR10"/>
        </w:rPr>
      </w:pPr>
      <w:r>
        <w:rPr>
          <w:rFonts w:eastAsia="CMR10"/>
          <w:noProof/>
        </w:rPr>
        <w:drawing>
          <wp:inline distT="0" distB="0" distL="0" distR="0">
            <wp:extent cx="981075" cy="3714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C2" w:rsidRDefault="00210DC2" w:rsidP="00210DC2">
      <w:pPr>
        <w:rPr>
          <w:noProof/>
        </w:rPr>
      </w:pPr>
      <w:r>
        <w:rPr>
          <w:noProof/>
        </w:rPr>
        <w:drawing>
          <wp:inline distT="0" distB="0" distL="0" distR="0">
            <wp:extent cx="4143375" cy="10953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C2" w:rsidRDefault="00210DC2" w:rsidP="00210DC2">
      <w:r>
        <w:rPr>
          <w:noProof/>
        </w:rPr>
        <w:drawing>
          <wp:inline distT="0" distB="0" distL="0" distR="0">
            <wp:extent cx="4371975" cy="147637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C2" w:rsidRDefault="00210DC2" w:rsidP="00210DC2">
      <w:r>
        <w:br w:type="page"/>
      </w:r>
    </w:p>
    <w:p w:rsidR="00210DC2" w:rsidRDefault="00210DC2" w:rsidP="00210DC2">
      <w:pPr>
        <w:pStyle w:val="Heading1"/>
      </w:pPr>
      <w:r>
        <w:lastRenderedPageBreak/>
        <w:t>Stochastic Boltzmann learning of visible states</w:t>
      </w:r>
    </w:p>
    <w:p w:rsidR="00210DC2" w:rsidRDefault="00210DC2" w:rsidP="00210DC2">
      <w:pPr>
        <w:rPr>
          <w:rFonts w:eastAsia="CMR10"/>
        </w:rPr>
      </w:pPr>
      <w:r>
        <w:rPr>
          <w:rFonts w:eastAsia="CMR10"/>
        </w:rPr>
        <w:t>L</w:t>
      </w:r>
      <w:r w:rsidRPr="00552297">
        <w:rPr>
          <w:rFonts w:eastAsia="CMR10"/>
        </w:rPr>
        <w:t>earning categories from training patterns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>— consider an alternate learning problem where we have a set of desired probabilities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 xml:space="preserve">for </w:t>
      </w:r>
      <w:r w:rsidRPr="00552297">
        <w:rPr>
          <w:rFonts w:eastAsia="CMR10" w:cs="CMTI10"/>
          <w:i/>
          <w:iCs/>
        </w:rPr>
        <w:t xml:space="preserve">all </w:t>
      </w:r>
      <w:r w:rsidRPr="00552297">
        <w:rPr>
          <w:rFonts w:eastAsia="CMR10"/>
        </w:rPr>
        <w:t xml:space="preserve">the visible units, </w:t>
      </w:r>
      <w:r w:rsidRPr="00552297">
        <w:rPr>
          <w:rFonts w:eastAsia="CMMI10" w:cs="CMMI10"/>
          <w:i/>
          <w:iCs/>
        </w:rPr>
        <w:t>Q</w:t>
      </w:r>
      <w:r w:rsidRPr="00552297">
        <w:rPr>
          <w:rFonts w:eastAsia="CMR10"/>
        </w:rPr>
        <w:t>(</w:t>
      </w:r>
      <w:r w:rsidRPr="00552297">
        <w:rPr>
          <w:rFonts w:eastAsia="CMMI10" w:cs="CMMI10"/>
          <w:i/>
          <w:iCs/>
        </w:rPr>
        <w:t>α</w:t>
      </w:r>
      <w:r w:rsidRPr="00552297">
        <w:rPr>
          <w:rFonts w:eastAsia="CMR10"/>
        </w:rPr>
        <w:t>) (given by a training set), and seek weights so that the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 xml:space="preserve">actual probability </w:t>
      </w:r>
      <w:r w:rsidRPr="00552297">
        <w:rPr>
          <w:rFonts w:eastAsia="CMMI10" w:cs="CMMI10"/>
          <w:i/>
          <w:iCs/>
        </w:rPr>
        <w:t>P</w:t>
      </w:r>
      <w:r w:rsidRPr="00552297">
        <w:rPr>
          <w:rFonts w:eastAsia="CMR10"/>
        </w:rPr>
        <w:t>(</w:t>
      </w:r>
      <w:r w:rsidRPr="00552297">
        <w:rPr>
          <w:rFonts w:eastAsia="CMMI10" w:cs="CMMI10"/>
          <w:i/>
          <w:iCs/>
        </w:rPr>
        <w:t>α</w:t>
      </w:r>
      <w:r w:rsidRPr="00552297">
        <w:rPr>
          <w:rFonts w:eastAsia="CMR10"/>
        </w:rPr>
        <w:t>), achieved in random simulations, matches these probabilities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>over all patterns as closely as possible. In this alternative learning problem the desired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>probabilities would be derived from training patterns containing both input (feature)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>and output (category) information. The actual probability describes the states of a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>network annealed with neither input nor output variables clamped.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>We now make use of the distinction between configurations of “visible” units (the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 xml:space="preserve">input and output, denoted </w:t>
      </w:r>
      <w:r w:rsidRPr="00552297">
        <w:rPr>
          <w:rFonts w:eastAsia="CMMI10" w:cs="CMMI10"/>
          <w:i/>
          <w:iCs/>
        </w:rPr>
        <w:t>α</w:t>
      </w:r>
      <w:r w:rsidRPr="00552297">
        <w:rPr>
          <w:rFonts w:eastAsia="CMR10"/>
        </w:rPr>
        <w:t xml:space="preserve">), and the hidden states, denoted </w:t>
      </w:r>
      <w:r w:rsidRPr="00552297">
        <w:rPr>
          <w:rFonts w:eastAsia="CMMI10" w:cs="CMMI10"/>
          <w:i/>
          <w:iCs/>
        </w:rPr>
        <w:t>β</w:t>
      </w:r>
      <w:r w:rsidRPr="00552297">
        <w:rPr>
          <w:rFonts w:eastAsia="CMR10"/>
        </w:rPr>
        <w:t>, shown in Fig. 7.1.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 xml:space="preserve">For instance, whereas </w:t>
      </w:r>
      <w:r w:rsidRPr="00552297">
        <w:rPr>
          <w:rFonts w:eastAsia="CMMI10" w:cs="CMMI10"/>
          <w:i/>
          <w:iCs/>
        </w:rPr>
        <w:t xml:space="preserve">a </w:t>
      </w:r>
      <w:r w:rsidRPr="00552297">
        <w:rPr>
          <w:rFonts w:eastAsia="CMR10"/>
        </w:rPr>
        <w:t xml:space="preserve">and </w:t>
      </w:r>
      <w:r w:rsidRPr="00552297">
        <w:rPr>
          <w:rFonts w:eastAsia="CMMI10" w:cs="CMMI10"/>
          <w:i/>
          <w:iCs/>
        </w:rPr>
        <w:t xml:space="preserve">b </w:t>
      </w:r>
      <w:r w:rsidRPr="00552297">
        <w:rPr>
          <w:rFonts w:eastAsia="CMR10"/>
        </w:rPr>
        <w:t>(c.f., Eq. 4) refered to different configurations of the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 xml:space="preserve">full system, </w:t>
      </w:r>
      <w:r w:rsidRPr="00552297">
        <w:rPr>
          <w:rFonts w:eastAsia="CMMI10" w:cs="CMMI10"/>
          <w:i/>
          <w:iCs/>
        </w:rPr>
        <w:t xml:space="preserve">α </w:t>
      </w:r>
      <w:r w:rsidRPr="00552297">
        <w:rPr>
          <w:rFonts w:eastAsia="CMR10"/>
        </w:rPr>
        <w:t xml:space="preserve">and </w:t>
      </w:r>
      <w:r w:rsidRPr="00552297">
        <w:rPr>
          <w:rFonts w:eastAsia="CMMI10" w:cs="CMMI10"/>
          <w:i/>
          <w:iCs/>
        </w:rPr>
        <w:t xml:space="preserve">β </w:t>
      </w:r>
      <w:r w:rsidRPr="00552297">
        <w:rPr>
          <w:rFonts w:eastAsia="CMR10"/>
        </w:rPr>
        <w:t>sill specify visible and hidden configurations.</w:t>
      </w:r>
      <w:r>
        <w:rPr>
          <w:rFonts w:eastAsia="CMR10"/>
        </w:rPr>
        <w:t xml:space="preserve"> </w:t>
      </w:r>
      <w:r w:rsidRPr="00552297">
        <w:rPr>
          <w:rFonts w:eastAsia="CMR10"/>
        </w:rPr>
        <w:t>The probability of a visible configuration is the sum over all possible hidden configurations:</w:t>
      </w:r>
    </w:p>
    <w:p w:rsidR="00210DC2" w:rsidRDefault="00210DC2" w:rsidP="00210DC2">
      <w:pPr>
        <w:rPr>
          <w:rFonts w:eastAsia="CMR10"/>
        </w:rPr>
      </w:pPr>
      <w:r>
        <w:rPr>
          <w:rFonts w:eastAsia="CMR10"/>
          <w:noProof/>
        </w:rPr>
        <w:drawing>
          <wp:inline distT="0" distB="0" distL="0" distR="0">
            <wp:extent cx="1933575" cy="1143000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C2" w:rsidRDefault="00210DC2" w:rsidP="00210DC2">
      <w:pPr>
        <w:rPr>
          <w:rFonts w:eastAsia="CMR10"/>
        </w:rPr>
      </w:pPr>
      <w:r>
        <w:rPr>
          <w:rFonts w:eastAsia="CMR10"/>
          <w:noProof/>
        </w:rPr>
        <w:drawing>
          <wp:inline distT="0" distB="0" distL="0" distR="0">
            <wp:extent cx="5095875" cy="37814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C2" w:rsidRPr="00F816F5" w:rsidRDefault="00210DC2" w:rsidP="00210DC2">
      <w:pPr>
        <w:rPr>
          <w:rFonts w:eastAsia="CMR10"/>
        </w:rPr>
      </w:pPr>
      <w:r w:rsidRPr="00F816F5">
        <w:rPr>
          <w:rFonts w:eastAsia="CMR10"/>
        </w:rPr>
        <w:lastRenderedPageBreak/>
        <w:t xml:space="preserve">where </w:t>
      </w:r>
      <w:r w:rsidRPr="00F816F5">
        <w:rPr>
          <w:rFonts w:eastAsia="CMMI10" w:cs="CMMI10"/>
          <w:i/>
          <w:iCs/>
        </w:rPr>
        <w:t>E</w:t>
      </w:r>
      <w:r w:rsidRPr="00F816F5">
        <w:rPr>
          <w:rFonts w:eastAsia="CMR10" w:cs="CMMI7"/>
          <w:i/>
          <w:iCs/>
          <w:sz w:val="14"/>
          <w:szCs w:val="14"/>
        </w:rPr>
        <w:t xml:space="preserve">αβ </w:t>
      </w:r>
      <w:r w:rsidRPr="00F816F5">
        <w:rPr>
          <w:rFonts w:eastAsia="CMR10"/>
        </w:rPr>
        <w:t>is the system energy in the configuration defined by the visible and hidden</w:t>
      </w:r>
      <w:r>
        <w:rPr>
          <w:rFonts w:eastAsia="CMR10"/>
        </w:rPr>
        <w:t xml:space="preserve"> </w:t>
      </w:r>
      <w:r w:rsidRPr="00F816F5">
        <w:rPr>
          <w:rFonts w:eastAsia="CMR10"/>
        </w:rPr>
        <w:t xml:space="preserve">parts, and </w:t>
      </w:r>
      <w:r w:rsidRPr="00F816F5">
        <w:rPr>
          <w:rFonts w:eastAsia="CMMI10" w:cs="CMMI10"/>
          <w:i/>
          <w:iCs/>
        </w:rPr>
        <w:t xml:space="preserve">Z </w:t>
      </w:r>
      <w:r w:rsidRPr="00F816F5">
        <w:rPr>
          <w:rFonts w:eastAsia="CMR10"/>
        </w:rPr>
        <w:t>is again the full partition function.</w:t>
      </w:r>
    </w:p>
    <w:p w:rsidR="00210DC2" w:rsidRDefault="00210DC2" w:rsidP="00210DC2">
      <w:pPr>
        <w:rPr>
          <w:rFonts w:eastAsia="CMR10"/>
        </w:rPr>
      </w:pPr>
      <w:r>
        <w:rPr>
          <w:rFonts w:eastAsia="CMR10"/>
        </w:rPr>
        <w:t>A natural measure of the difference between the actual and the desired probability distributions is the relative entropy, Kullback-Leibler distance or Kullback-Leibler divergence,</w:t>
      </w:r>
    </w:p>
    <w:p w:rsidR="00210DC2" w:rsidRDefault="00210DC2" w:rsidP="00210DC2">
      <w:pPr>
        <w:rPr>
          <w:rFonts w:eastAsia="CMR10"/>
        </w:rPr>
      </w:pPr>
      <w:r>
        <w:rPr>
          <w:rFonts w:eastAsia="CMR10"/>
          <w:noProof/>
        </w:rPr>
        <w:drawing>
          <wp:inline distT="0" distB="0" distL="0" distR="0">
            <wp:extent cx="3228975" cy="723900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DC2" w:rsidRDefault="00210DC2" w:rsidP="00210DC2">
      <w:pPr>
        <w:rPr>
          <w:rFonts w:eastAsia="CMR10"/>
        </w:rPr>
      </w:pPr>
      <w:r w:rsidRPr="00EC78B3">
        <w:rPr>
          <w:rFonts w:eastAsia="CMR10"/>
        </w:rPr>
        <w:t>Learning is based on gradient descent in the relative entropy. A set of training</w:t>
      </w:r>
      <w:r>
        <w:rPr>
          <w:rFonts w:eastAsia="CMR10"/>
        </w:rPr>
        <w:t xml:space="preserve"> </w:t>
      </w:r>
      <w:r w:rsidRPr="00EC78B3">
        <w:rPr>
          <w:rFonts w:eastAsia="CMR10"/>
        </w:rPr>
        <w:t xml:space="preserve">patterns defines </w:t>
      </w:r>
      <w:r w:rsidRPr="00EC78B3">
        <w:rPr>
          <w:rFonts w:eastAsia="CMMI10" w:cs="CMMI10"/>
          <w:i/>
          <w:iCs/>
        </w:rPr>
        <w:t>Q</w:t>
      </w:r>
      <w:r w:rsidRPr="00EC78B3">
        <w:rPr>
          <w:rFonts w:eastAsia="CMR10"/>
        </w:rPr>
        <w:t>(</w:t>
      </w:r>
      <w:r w:rsidRPr="00EC78B3">
        <w:rPr>
          <w:rFonts w:eastAsia="CMMI10" w:cs="CMMI10"/>
          <w:i/>
          <w:iCs/>
        </w:rPr>
        <w:t>α</w:t>
      </w:r>
      <w:r w:rsidRPr="00EC78B3">
        <w:rPr>
          <w:rFonts w:eastAsia="CMR10"/>
        </w:rPr>
        <w:t xml:space="preserve">), and we seek weights so that at some temperature </w:t>
      </w:r>
      <w:r w:rsidRPr="00EC78B3">
        <w:rPr>
          <w:rFonts w:eastAsia="CMMI10" w:cs="CMMI10"/>
          <w:i/>
          <w:iCs/>
        </w:rPr>
        <w:t xml:space="preserve">T </w:t>
      </w:r>
      <w:r w:rsidRPr="00EC78B3">
        <w:rPr>
          <w:rFonts w:eastAsia="CMR10"/>
        </w:rPr>
        <w:t>the actual</w:t>
      </w:r>
      <w:r>
        <w:rPr>
          <w:rFonts w:eastAsia="CMR10"/>
        </w:rPr>
        <w:t xml:space="preserve"> </w:t>
      </w:r>
      <w:r w:rsidRPr="00EC78B3">
        <w:rPr>
          <w:rFonts w:eastAsia="CMR10"/>
        </w:rPr>
        <w:t xml:space="preserve">distribution </w:t>
      </w:r>
      <w:r w:rsidRPr="00EC78B3">
        <w:rPr>
          <w:rFonts w:eastAsia="CMMI10" w:cs="CMMI10"/>
          <w:i/>
          <w:iCs/>
        </w:rPr>
        <w:t>P</w:t>
      </w:r>
      <w:r w:rsidRPr="00EC78B3">
        <w:rPr>
          <w:rFonts w:eastAsia="CMR10"/>
        </w:rPr>
        <w:t>(</w:t>
      </w:r>
      <w:r w:rsidRPr="00EC78B3">
        <w:rPr>
          <w:rFonts w:eastAsia="CMMI10" w:cs="CMMI10"/>
          <w:i/>
          <w:iCs/>
        </w:rPr>
        <w:t>α</w:t>
      </w:r>
      <w:r w:rsidRPr="00EC78B3">
        <w:rPr>
          <w:rFonts w:eastAsia="CMR10"/>
        </w:rPr>
        <w:t xml:space="preserve">) matches </w:t>
      </w:r>
      <w:r w:rsidRPr="00EC78B3">
        <w:rPr>
          <w:rFonts w:eastAsia="CMMI10" w:cs="CMMI10"/>
          <w:i/>
          <w:iCs/>
        </w:rPr>
        <w:t>Q</w:t>
      </w:r>
      <w:r w:rsidRPr="00EC78B3">
        <w:rPr>
          <w:rFonts w:eastAsia="CMR10"/>
        </w:rPr>
        <w:t>(</w:t>
      </w:r>
      <w:r w:rsidRPr="00EC78B3">
        <w:rPr>
          <w:rFonts w:eastAsia="CMMI10" w:cs="CMMI10"/>
          <w:i/>
          <w:iCs/>
        </w:rPr>
        <w:t>α</w:t>
      </w:r>
      <w:r w:rsidRPr="00EC78B3">
        <w:rPr>
          <w:rFonts w:eastAsia="CMR10"/>
        </w:rPr>
        <w:t>) as closely as possible. Thus we take an untrained</w:t>
      </w:r>
      <w:r>
        <w:rPr>
          <w:rFonts w:eastAsia="CMR10"/>
        </w:rPr>
        <w:t xml:space="preserve"> </w:t>
      </w:r>
      <w:r w:rsidRPr="00EC78B3">
        <w:rPr>
          <w:rFonts w:eastAsia="CMR10"/>
        </w:rPr>
        <w:t>network and update each weight according to:</w:t>
      </w:r>
    </w:p>
    <w:p w:rsidR="00210DC2" w:rsidRDefault="00210DC2" w:rsidP="00210DC2">
      <w:pPr>
        <w:rPr>
          <w:rFonts w:eastAsia="CMR10"/>
        </w:rPr>
      </w:pPr>
      <w:r>
        <w:rPr>
          <w:rFonts w:eastAsia="CMR10"/>
          <w:noProof/>
        </w:rPr>
        <w:drawing>
          <wp:inline distT="0" distB="0" distL="0" distR="0">
            <wp:extent cx="3495675" cy="647700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MR10"/>
        </w:rPr>
        <w:br/>
      </w:r>
      <w:r w:rsidRPr="00F317A4">
        <w:rPr>
          <w:rFonts w:eastAsia="CMR10"/>
        </w:rPr>
        <w:t xml:space="preserve">where </w:t>
      </w:r>
      <w:r w:rsidRPr="00F317A4">
        <w:rPr>
          <w:rFonts w:eastAsia="CMMI10" w:cs="CMMI10"/>
          <w:i/>
          <w:iCs/>
        </w:rPr>
        <w:t xml:space="preserve">η </w:t>
      </w:r>
      <w:r w:rsidRPr="00F317A4">
        <w:rPr>
          <w:rFonts w:eastAsia="CMR10"/>
        </w:rPr>
        <w:t xml:space="preserve">is a learning rate. While </w:t>
      </w:r>
      <w:r w:rsidRPr="00F317A4">
        <w:rPr>
          <w:rFonts w:eastAsia="CMMI10" w:cs="CMMI10"/>
          <w:i/>
          <w:iCs/>
        </w:rPr>
        <w:t xml:space="preserve">P </w:t>
      </w:r>
      <w:r w:rsidRPr="00F317A4">
        <w:rPr>
          <w:rFonts w:eastAsia="CMR10"/>
        </w:rPr>
        <w:t xml:space="preserve">depends on the weights, </w:t>
      </w:r>
      <w:r w:rsidRPr="00F317A4">
        <w:rPr>
          <w:rFonts w:eastAsia="CMMI10" w:cs="CMMI10"/>
          <w:i/>
          <w:iCs/>
        </w:rPr>
        <w:t xml:space="preserve">Q </w:t>
      </w:r>
      <w:r w:rsidRPr="00F317A4">
        <w:rPr>
          <w:rFonts w:eastAsia="CMR10"/>
        </w:rPr>
        <w:t>does not, and thus we</w:t>
      </w:r>
      <w:r>
        <w:rPr>
          <w:rFonts w:eastAsia="CMR10"/>
        </w:rPr>
        <w:t xml:space="preserve"> </w:t>
      </w:r>
      <w:r w:rsidRPr="00F317A4">
        <w:rPr>
          <w:rFonts w:eastAsia="CMR10"/>
        </w:rPr>
        <w:t xml:space="preserve">used </w:t>
      </w:r>
      <w:r w:rsidRPr="00F317A4">
        <w:rPr>
          <w:rFonts w:eastAsia="CMMI10" w:cs="CMMI10"/>
          <w:i/>
          <w:iCs/>
        </w:rPr>
        <w:t>∂Q</w:t>
      </w:r>
      <w:r w:rsidRPr="00F317A4">
        <w:rPr>
          <w:rFonts w:eastAsia="CMR10"/>
        </w:rPr>
        <w:t>(</w:t>
      </w:r>
      <w:r w:rsidRPr="00F317A4">
        <w:rPr>
          <w:rFonts w:eastAsia="CMMI10" w:cs="CMMI10"/>
          <w:i/>
          <w:iCs/>
        </w:rPr>
        <w:t>α</w:t>
      </w:r>
      <w:r w:rsidRPr="00F317A4">
        <w:rPr>
          <w:rFonts w:eastAsia="CMR10"/>
        </w:rPr>
        <w:t>)</w:t>
      </w:r>
      <w:r w:rsidRPr="00F317A4">
        <w:rPr>
          <w:rFonts w:eastAsia="CMMI10" w:cs="CMMI10"/>
          <w:i/>
          <w:iCs/>
        </w:rPr>
        <w:t>/∂w</w:t>
      </w:r>
      <w:r w:rsidRPr="00F317A4">
        <w:rPr>
          <w:rFonts w:eastAsia="CMR10" w:cs="CMMI7"/>
          <w:i/>
          <w:iCs/>
          <w:sz w:val="14"/>
          <w:szCs w:val="14"/>
        </w:rPr>
        <w:t xml:space="preserve">ij </w:t>
      </w:r>
      <w:r w:rsidRPr="00F317A4">
        <w:rPr>
          <w:rFonts w:eastAsia="CMR10"/>
        </w:rPr>
        <w:t>= 0.</w:t>
      </w:r>
    </w:p>
    <w:p w:rsidR="00210DC2" w:rsidRPr="00BD0EB7" w:rsidRDefault="00210DC2">
      <w:pPr>
        <w:rPr>
          <w:rFonts w:eastAsia="CMR10"/>
        </w:rPr>
      </w:pPr>
      <w:r>
        <w:rPr>
          <w:rFonts w:eastAsia="CMR10"/>
          <w:noProof/>
        </w:rPr>
        <w:drawing>
          <wp:inline distT="0" distB="0" distL="0" distR="0">
            <wp:extent cx="5248275" cy="12954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809" w:rsidRDefault="00263809">
      <w:pPr>
        <w:rPr>
          <w:b/>
        </w:rPr>
      </w:pPr>
      <w:r>
        <w:rPr>
          <w:b/>
        </w:rPr>
        <w:t>Mutual (cross) correlation between an image (object) and standard (example):</w:t>
      </w:r>
    </w:p>
    <w:p w:rsidR="00BD0EB7" w:rsidRDefault="00BD0EB7">
      <w:pPr>
        <w:rPr>
          <w:b/>
        </w:rPr>
      </w:pPr>
    </w:p>
    <w:p w:rsidR="00263809" w:rsidRDefault="00263809">
      <w:pPr>
        <w:rPr>
          <w:b/>
        </w:rPr>
      </w:pPr>
      <w:r>
        <w:rPr>
          <w:b/>
        </w:rPr>
        <w:t>Fast computations in the frequency (Fourier) space:</w:t>
      </w:r>
    </w:p>
    <w:p w:rsidR="00263809" w:rsidRPr="00263809" w:rsidRDefault="00263809">
      <w:pPr>
        <w:rPr>
          <w:b/>
        </w:rPr>
      </w:pPr>
    </w:p>
    <w:sectPr w:rsidR="00263809" w:rsidRPr="00263809" w:rsidSect="00F844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T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7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1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3809"/>
    <w:rsid w:val="00112DA2"/>
    <w:rsid w:val="00210DC2"/>
    <w:rsid w:val="00263809"/>
    <w:rsid w:val="00286B3C"/>
    <w:rsid w:val="00BD0EB7"/>
    <w:rsid w:val="00BE408D"/>
    <w:rsid w:val="00BF0F74"/>
    <w:rsid w:val="00CD527A"/>
    <w:rsid w:val="00E03CBD"/>
    <w:rsid w:val="00EF5C63"/>
    <w:rsid w:val="00F8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477"/>
  </w:style>
  <w:style w:type="paragraph" w:styleId="Heading1">
    <w:name w:val="heading 1"/>
    <w:basedOn w:val="Normal"/>
    <w:next w:val="Normal"/>
    <w:link w:val="Heading1Char"/>
    <w:uiPriority w:val="9"/>
    <w:qFormat/>
    <w:rsid w:val="00210D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0D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D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0D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451</Words>
  <Characters>2575</Characters>
  <Application>Microsoft Office Word</Application>
  <DocSecurity>0</DocSecurity>
  <Lines>21</Lines>
  <Paragraphs>6</Paragraphs>
  <ScaleCrop>false</ScaleCrop>
  <Company>Komtel-PE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Besnik Fetahu</dc:creator>
  <cp:keywords/>
  <dc:description/>
  <cp:lastModifiedBy>Besnik Fetahu</cp:lastModifiedBy>
  <cp:revision>4</cp:revision>
  <dcterms:created xsi:type="dcterms:W3CDTF">2010-01-06T11:42:00Z</dcterms:created>
  <dcterms:modified xsi:type="dcterms:W3CDTF">2010-01-10T11:28:00Z</dcterms:modified>
</cp:coreProperties>
</file>